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Прес-реліз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Громадської спілки “Віртуальні активи України” стосовно старту публічного обговорення оновленого пакету законопроектів щодо Віртуальних активів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14 червня 2023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Громадська спілка «Віртуальні Активи України» (ВАУ) вітає публікацію регулятором та винесення на публічне громадське обговорення пакету законопроектів щодо запуску ринку віртуальних активів (ВА) в Україні.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ВАУ підтримує прагнення Національної Комісії з цінних паперів та фондового ринку України (НКЦПФР) і Комітету Верховної Ради України з питань фінансів, податкової та митної політики забезпечити до кінця 2023 року ухвалення усіх необхідних законодавчих змін задля наближення України до законодавства ЄС, як фактору пришвидшення євроінтеграції.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ВАУ спільно з партнерським міжфракційним об'єднанням народних депутатів України МФО «Blockchain4Ukraine» готові на експертному рівні надати допомогу НКЦПФР та Комітетам Верховної Ради України щодо розгляду пропозицій, поправок та адвокації у Парламенті пакету законопроектів щодо запуску ринку ВА.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В свою чергу ВАУ, з урахуванням кращої світової практики, пропонує розглянути дві пропозиції щодо оподаткування доходів, отриманих від операцій з ВА, а саме: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Якщо фізична, чи юридична особа тримає віртуальний актив на балансі більше </w:t>
      </w:r>
      <w:r w:rsidDel="00000000" w:rsidR="00000000" w:rsidRPr="00000000">
        <w:rPr>
          <w:rtl w:val="0"/>
        </w:rPr>
        <w:t xml:space="preserve">одного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року, то доходи </w:t>
      </w:r>
      <w:r w:rsidDel="00000000" w:rsidR="00000000" w:rsidRPr="00000000">
        <w:rPr>
          <w:rtl w:val="0"/>
        </w:rPr>
        <w:t xml:space="preserve">отримані від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цього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ВА звільняються від </w:t>
      </w:r>
      <w:r w:rsidDel="00000000" w:rsidR="00000000" w:rsidRPr="00000000">
        <w:rPr>
          <w:rtl w:val="0"/>
        </w:rPr>
        <w:t xml:space="preserve">оподаткування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(у поточній редакції дл</w:t>
      </w:r>
      <w:r w:rsidDel="00000000" w:rsidR="00000000" w:rsidRPr="00000000">
        <w:rPr>
          <w:rtl w:val="0"/>
        </w:rPr>
        <w:t xml:space="preserve">я таких випадків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пропонується ставка 5% і лише для фізичних осіб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i w:val="1"/>
          <w:rtl w:val="0"/>
        </w:rPr>
        <w:t xml:space="preserve">подібний підхід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міститься у законодавстві Німеччини (для всіх класів платників податків) та США (для платників податків із податковими ставками 10% або 12%);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 перехідний період у </w:t>
      </w:r>
      <w:r w:rsidDel="00000000" w:rsidR="00000000" w:rsidRPr="00000000">
        <w:rPr>
          <w:rtl w:val="0"/>
        </w:rPr>
        <w:t xml:space="preserve">два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рок</w:t>
      </w:r>
      <w:r w:rsidDel="00000000" w:rsidR="00000000" w:rsidRPr="00000000">
        <w:rPr>
          <w:rtl w:val="0"/>
        </w:rPr>
        <w:t xml:space="preserve">и, з моменту запуску ринку,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запровадити </w:t>
      </w:r>
      <w:r w:rsidDel="00000000" w:rsidR="00000000" w:rsidRPr="00000000">
        <w:rPr>
          <w:rtl w:val="0"/>
        </w:rPr>
        <w:t xml:space="preserve">поетапне підвищення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став</w:t>
      </w:r>
      <w:r w:rsidDel="00000000" w:rsidR="00000000" w:rsidRPr="00000000">
        <w:rPr>
          <w:rtl w:val="0"/>
        </w:rPr>
        <w:t xml:space="preserve">ок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оподаткування</w:t>
      </w:r>
      <w:r w:rsidDel="00000000" w:rsidR="00000000" w:rsidRPr="00000000">
        <w:rPr>
          <w:rtl w:val="0"/>
        </w:rPr>
        <w:t xml:space="preserve"> доходів фізичних осіб і прибутку підприємств отриманих від віртуальних активів, починаючи з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5% протягом першого року</w:t>
      </w:r>
      <w:r w:rsidDel="00000000" w:rsidR="00000000" w:rsidRPr="00000000">
        <w:rPr>
          <w:rtl w:val="0"/>
        </w:rPr>
        <w:t xml:space="preserve"> та 10% протягом другого року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Це дозволить стимулювати вихід із тіні </w:t>
      </w:r>
      <w:r w:rsidDel="00000000" w:rsidR="00000000" w:rsidRPr="00000000">
        <w:rPr>
          <w:i w:val="1"/>
          <w:rtl w:val="0"/>
        </w:rPr>
        <w:t xml:space="preserve">існуючого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ринку віртуальних активів, забезпечить прихід в Україну </w:t>
      </w:r>
      <w:r w:rsidDel="00000000" w:rsidR="00000000" w:rsidRPr="00000000">
        <w:rPr>
          <w:i w:val="1"/>
          <w:rtl w:val="0"/>
        </w:rPr>
        <w:t xml:space="preserve">світових гравців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та залуч</w:t>
      </w:r>
      <w:r w:rsidDel="00000000" w:rsidR="00000000" w:rsidRPr="00000000">
        <w:rPr>
          <w:i w:val="1"/>
          <w:rtl w:val="0"/>
        </w:rPr>
        <w:t xml:space="preserve">ення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інвестиці</w:t>
      </w:r>
      <w:r w:rsidDel="00000000" w:rsidR="00000000" w:rsidRPr="00000000">
        <w:rPr>
          <w:i w:val="1"/>
          <w:rtl w:val="0"/>
        </w:rPr>
        <w:t xml:space="preserve">й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для повоєнно</w:t>
      </w:r>
      <w:r w:rsidDel="00000000" w:rsidR="00000000" w:rsidRPr="00000000">
        <w:rPr>
          <w:i w:val="1"/>
          <w:rtl w:val="0"/>
        </w:rPr>
        <w:t xml:space="preserve">го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відновлення економіки України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Враховуючи досвід європейських країн в сфері імплементації законодавства ЄС ВАУ наголошує на необхідності забезпечення конкурентних переваг України на міжнародній арені в сфері віртуальних активів, а отже на необхідності вибору такої моделі регулювання галузі, яка одночасно відповідатиме обов’язковим вимогам Європейського союзу, але при цьому буде максимально сприятливою для розвитку бізнесу, враховуючи перехідний період.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Олексій Жмеренецький</w:t>
        <w:tab/>
        <w:tab/>
        <w:tab/>
        <w:tab/>
        <w:tab/>
        <w:tab/>
        <w:t xml:space="preserve">Константин Ярмоленко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Голова МФО «Blockchain4Ukraine»</w:t>
        <w:tab/>
        <w:tab/>
        <w:tab/>
        <w:tab/>
        <w:tab/>
        <w:t xml:space="preserve">Генеральний директор ВАУ</w:t>
      </w:r>
    </w:p>
    <w:p w:rsidR="00000000" w:rsidDel="00000000" w:rsidP="00000000" w:rsidRDefault="00000000" w:rsidRPr="00000000" w14:paraId="0000001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____________________</w:t>
        <w:tab/>
        <w:tab/>
        <w:tab/>
        <w:tab/>
        <w:tab/>
        <w:tab/>
        <w:t xml:space="preserve">______________________</w:t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u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